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14" w:rsidRPr="008E43C3" w:rsidRDefault="00236214" w:rsidP="00236214">
      <w:pPr>
        <w:jc w:val="center"/>
        <w:rPr>
          <w:rFonts w:ascii="宋体" w:hAnsi="宋体"/>
          <w:b/>
          <w:sz w:val="24"/>
        </w:rPr>
      </w:pPr>
      <w:r w:rsidRPr="008E43C3">
        <w:rPr>
          <w:rFonts w:ascii="宋体" w:hAnsi="宋体" w:hint="eastAsia"/>
          <w:b/>
          <w:sz w:val="24"/>
        </w:rPr>
        <w:t>申报2018年度陕西高等学校科学技术奖励项目</w:t>
      </w:r>
      <w:r>
        <w:rPr>
          <w:rFonts w:ascii="宋体" w:hAnsi="宋体" w:hint="eastAsia"/>
          <w:b/>
          <w:sz w:val="24"/>
        </w:rPr>
        <w:t>的</w:t>
      </w:r>
      <w:r w:rsidRPr="008E43C3">
        <w:rPr>
          <w:rFonts w:ascii="宋体" w:hAnsi="宋体" w:hint="eastAsia"/>
          <w:b/>
          <w:sz w:val="24"/>
        </w:rPr>
        <w:t>公示内容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6858"/>
      </w:tblGrid>
      <w:tr w:rsidR="00236214" w:rsidRPr="008E43C3" w:rsidTr="00BF7A9C">
        <w:trPr>
          <w:trHeight w:val="995"/>
        </w:trPr>
        <w:tc>
          <w:tcPr>
            <w:tcW w:w="1915" w:type="dxa"/>
            <w:vAlign w:val="center"/>
          </w:tcPr>
          <w:p w:rsidR="00236214" w:rsidRPr="008E43C3" w:rsidRDefault="00236214" w:rsidP="00BF7A9C">
            <w:pPr>
              <w:jc w:val="center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58" w:type="dxa"/>
            <w:vAlign w:val="center"/>
          </w:tcPr>
          <w:p w:rsidR="00236214" w:rsidRPr="00236214" w:rsidRDefault="00236214" w:rsidP="00BF7A9C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36214">
              <w:rPr>
                <w:rFonts w:ascii="仿宋" w:eastAsia="仿宋" w:hAnsi="仿宋" w:hint="eastAsia"/>
                <w:sz w:val="28"/>
                <w:szCs w:val="28"/>
              </w:rPr>
              <w:t>植物富集重金属及修复污染土壤的主要机理研究</w:t>
            </w:r>
          </w:p>
        </w:tc>
      </w:tr>
      <w:tr w:rsidR="00236214" w:rsidRPr="008E43C3" w:rsidTr="00BF7A9C">
        <w:trPr>
          <w:trHeight w:val="995"/>
        </w:trPr>
        <w:tc>
          <w:tcPr>
            <w:tcW w:w="1915" w:type="dxa"/>
            <w:vAlign w:val="center"/>
          </w:tcPr>
          <w:p w:rsidR="00236214" w:rsidRPr="008E43C3" w:rsidRDefault="00236214" w:rsidP="00BF7A9C">
            <w:pPr>
              <w:jc w:val="center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完成单位</w:t>
            </w:r>
          </w:p>
        </w:tc>
        <w:tc>
          <w:tcPr>
            <w:tcW w:w="6858" w:type="dxa"/>
            <w:vAlign w:val="center"/>
          </w:tcPr>
          <w:p w:rsidR="00236214" w:rsidRPr="00236214" w:rsidRDefault="00236214" w:rsidP="00236214">
            <w:pPr>
              <w:rPr>
                <w:rFonts w:asciiTheme="minorEastAsia" w:eastAsiaTheme="minorEastAsia" w:hAnsiTheme="minorEastAsia" w:cstheme="minorBidi"/>
                <w:sz w:val="24"/>
              </w:rPr>
            </w:pPr>
            <w:r w:rsidRPr="0023621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陕西理工大学，中国科学院沈阳应用生态研究所，西北农林科技大学</w:t>
            </w:r>
          </w:p>
        </w:tc>
      </w:tr>
      <w:tr w:rsidR="00236214" w:rsidRPr="008E43C3" w:rsidTr="00BF7A9C">
        <w:trPr>
          <w:trHeight w:val="995"/>
        </w:trPr>
        <w:tc>
          <w:tcPr>
            <w:tcW w:w="1915" w:type="dxa"/>
            <w:vAlign w:val="center"/>
          </w:tcPr>
          <w:p w:rsidR="00236214" w:rsidRPr="008E43C3" w:rsidRDefault="00236214" w:rsidP="00BF7A9C">
            <w:pPr>
              <w:jc w:val="center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完成人</w:t>
            </w:r>
          </w:p>
        </w:tc>
        <w:tc>
          <w:tcPr>
            <w:tcW w:w="6858" w:type="dxa"/>
            <w:vAlign w:val="center"/>
          </w:tcPr>
          <w:p w:rsidR="00236214" w:rsidRPr="00236214" w:rsidRDefault="00236214" w:rsidP="00BF7A9C">
            <w:pPr>
              <w:rPr>
                <w:rFonts w:asciiTheme="minorEastAsia" w:eastAsiaTheme="minorEastAsia" w:hAnsiTheme="minorEastAsia" w:cstheme="minorBidi"/>
                <w:sz w:val="24"/>
              </w:rPr>
            </w:pPr>
            <w:proofErr w:type="gramStart"/>
            <w:r w:rsidRPr="0023621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代惠萍</w:t>
            </w:r>
            <w:proofErr w:type="gramEnd"/>
            <w:r w:rsidRPr="0023621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，魏树和，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殷宪强，吉普辉，</w:t>
            </w:r>
            <w:r w:rsidRPr="0023621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陈德经，赵桦，吴三桥，贾根良，李新生，江海</w:t>
            </w:r>
          </w:p>
        </w:tc>
      </w:tr>
      <w:tr w:rsidR="00236214" w:rsidRPr="008E43C3" w:rsidTr="00BF7A9C">
        <w:trPr>
          <w:trHeight w:val="995"/>
        </w:trPr>
        <w:tc>
          <w:tcPr>
            <w:tcW w:w="8773" w:type="dxa"/>
            <w:gridSpan w:val="2"/>
          </w:tcPr>
          <w:p w:rsidR="00236214" w:rsidRPr="008E43C3" w:rsidRDefault="00236214" w:rsidP="005972A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8E43C3">
              <w:rPr>
                <w:rFonts w:ascii="宋体" w:hAnsi="宋体" w:cs="宋体" w:hint="eastAsia"/>
                <w:kern w:val="0"/>
                <w:sz w:val="24"/>
              </w:rPr>
              <w:t>项目简介</w:t>
            </w:r>
          </w:p>
          <w:p w:rsidR="00236214" w:rsidRPr="00236214" w:rsidRDefault="00236214" w:rsidP="005972A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36214">
              <w:rPr>
                <w:rFonts w:asciiTheme="minorEastAsia" w:eastAsiaTheme="minorEastAsia" w:hAnsiTheme="minorEastAsia"/>
                <w:sz w:val="24"/>
              </w:rPr>
              <w:t>陕西省是我国矿产资源较为丰富的中西部省份，由于不适当的金属矿业开采、冶炼等行为，造成了一些农田重金属污染问题，进而使一些农产品受到污染，威胁着人们的身体健康。急需采取有效措施对污染土壤加以修复。</w:t>
            </w:r>
          </w:p>
          <w:p w:rsidR="00236214" w:rsidRPr="00236214" w:rsidRDefault="00236214" w:rsidP="005972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C1F24">
              <w:rPr>
                <w:rFonts w:ascii="宋体" w:hAnsi="宋体" w:hint="eastAsia"/>
                <w:kern w:val="0"/>
                <w:sz w:val="24"/>
              </w:rPr>
              <w:t>创新性成果：</w:t>
            </w:r>
            <w:r w:rsidRPr="00236214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</w:t>
            </w:r>
          </w:p>
          <w:p w:rsidR="00236214" w:rsidRPr="00236214" w:rsidRDefault="00236214" w:rsidP="005972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236214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23621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富锌紫花苜蓿品种的筛选：</w:t>
            </w:r>
            <w:r w:rsidR="005972A0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将收集到的</w:t>
            </w:r>
            <w:bookmarkStart w:id="0" w:name="_GoBack"/>
            <w:bookmarkEnd w:id="0"/>
            <w:r w:rsidR="005972A0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多种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紫花苜蓿</w:t>
            </w:r>
            <w:r w:rsidR="005972A0" w:rsidRPr="00CD7629">
              <w:rPr>
                <w:rFonts w:eastAsiaTheme="minorEastAsia"/>
                <w:color w:val="000000"/>
                <w:kern w:val="0"/>
                <w:sz w:val="24"/>
              </w:rPr>
              <w:t>(</w:t>
            </w:r>
            <w:proofErr w:type="spellStart"/>
            <w:r w:rsidR="005972A0" w:rsidRPr="00CD7629">
              <w:rPr>
                <w:rFonts w:eastAsiaTheme="minorEastAsia"/>
                <w:i/>
                <w:color w:val="000000"/>
                <w:kern w:val="0"/>
                <w:sz w:val="24"/>
              </w:rPr>
              <w:t>Medicago</w:t>
            </w:r>
            <w:proofErr w:type="spellEnd"/>
            <w:r w:rsidR="005972A0" w:rsidRPr="00CD7629">
              <w:rPr>
                <w:rFonts w:eastAsiaTheme="minorEastAsia"/>
                <w:i/>
                <w:color w:val="000000"/>
                <w:kern w:val="0"/>
                <w:sz w:val="24"/>
              </w:rPr>
              <w:t xml:space="preserve"> sativa</w:t>
            </w:r>
            <w:r w:rsidR="005972A0" w:rsidRPr="00CD7629">
              <w:rPr>
                <w:rFonts w:eastAsiaTheme="minorEastAsia"/>
                <w:color w:val="000000"/>
                <w:kern w:val="0"/>
                <w:sz w:val="24"/>
              </w:rPr>
              <w:t xml:space="preserve"> L.)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培养于不同含量的重金属</w:t>
            </w:r>
            <w:proofErr w:type="gramStart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锌</w:t>
            </w:r>
            <w:proofErr w:type="gramEnd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处理土壤中，作物生长温度为</w:t>
            </w:r>
            <w:r w:rsidR="005972A0" w:rsidRPr="00D63D4D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19-30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℃，土壤含水量为田间持水量的</w:t>
            </w:r>
            <w:r w:rsidR="005972A0" w:rsidRPr="00D63D4D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40-70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％，自然光下培养</w:t>
            </w:r>
            <w:r w:rsidR="005972A0" w:rsidRPr="00D63D4D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30-120 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天，收获植株，</w:t>
            </w:r>
            <w:r w:rsidR="005972A0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测定根、茎、</w:t>
            </w:r>
            <w:proofErr w:type="gramStart"/>
            <w:r w:rsidR="005972A0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叶不同</w:t>
            </w:r>
            <w:proofErr w:type="gramEnd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部分重金属</w:t>
            </w:r>
            <w:proofErr w:type="gramStart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锌</w:t>
            </w:r>
            <w:proofErr w:type="gramEnd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含量测，收集其可食部位中的重金属</w:t>
            </w:r>
            <w:proofErr w:type="gramStart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锌</w:t>
            </w:r>
            <w:proofErr w:type="gramEnd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含量高于作物传统品种可食部位重金属</w:t>
            </w:r>
            <w:proofErr w:type="gramStart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锌</w:t>
            </w:r>
            <w:proofErr w:type="gramEnd"/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含量</w:t>
            </w:r>
            <w:r w:rsidR="005972A0" w:rsidRPr="00D63D4D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40</w:t>
            </w:r>
            <w:r w:rsidR="005972A0" w:rsidRPr="00D63D4D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％的作物</w:t>
            </w:r>
            <w:r w:rsidR="005972A0">
              <w:rPr>
                <w:rFonts w:asciiTheme="minorEastAsia" w:eastAsiaTheme="minorEastAsia" w:hAnsiTheme="minorEastAsia" w:cs="芥竟" w:hint="eastAsia"/>
                <w:color w:val="000000"/>
                <w:kern w:val="0"/>
                <w:sz w:val="24"/>
              </w:rPr>
              <w:t>作为筛选标准。</w:t>
            </w:r>
          </w:p>
          <w:p w:rsidR="00236214" w:rsidRPr="00236214" w:rsidRDefault="00236214" w:rsidP="005972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2）</w:t>
            </w:r>
            <w:r w:rsidRPr="00236214">
              <w:rPr>
                <w:rFonts w:hint="eastAsia"/>
                <w:sz w:val="24"/>
              </w:rPr>
              <w:t>富集植物</w:t>
            </w:r>
            <w:r w:rsidRPr="00236214">
              <w:rPr>
                <w:rFonts w:asciiTheme="minorEastAsia" w:eastAsiaTheme="minorEastAsia" w:hAnsiTheme="minorEastAsia"/>
                <w:sz w:val="24"/>
                <w:szCs w:val="32"/>
              </w:rPr>
              <w:t>苎麻富集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铅及其污染土壤修复的主要机理研究：</w:t>
            </w:r>
            <w:r w:rsidRPr="00236214">
              <w:rPr>
                <w:rFonts w:asciiTheme="minorEastAsia" w:eastAsiaTheme="minorEastAsia" w:hAnsiTheme="minorEastAsia"/>
                <w:sz w:val="24"/>
              </w:rPr>
              <w:t>首次利用大型原状土柱揭示了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铅在土壤中的运移机理</w:t>
            </w:r>
            <w:r w:rsidRPr="00236214">
              <w:rPr>
                <w:rFonts w:asciiTheme="minorEastAsia" w:eastAsiaTheme="minorEastAsia" w:hAnsiTheme="minorEastAsia"/>
                <w:sz w:val="24"/>
              </w:rPr>
              <w:t>。对铅污染场地进行了场地修复研究，提出了合理解决固态铅制品污染的途径。在此基础上，研究了</w:t>
            </w:r>
            <w:r w:rsidRPr="00236214">
              <w:rPr>
                <w:rFonts w:asciiTheme="minorEastAsia" w:eastAsiaTheme="minorEastAsia" w:hAnsiTheme="minorEastAsia"/>
                <w:sz w:val="24"/>
                <w:szCs w:val="32"/>
              </w:rPr>
              <w:t>苎麻对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铅的</w:t>
            </w:r>
            <w:r w:rsidRPr="00236214">
              <w:rPr>
                <w:rFonts w:asciiTheme="minorEastAsia" w:eastAsiaTheme="minorEastAsia" w:hAnsiTheme="minorEastAsia"/>
                <w:sz w:val="24"/>
                <w:szCs w:val="32"/>
              </w:rPr>
              <w:t>富集潜力与解毒机理，比较了</w:t>
            </w:r>
            <w:r w:rsidRPr="00236214">
              <w:rPr>
                <w:rFonts w:asciiTheme="minorEastAsia" w:eastAsiaTheme="minorEastAsia" w:hAnsiTheme="minorEastAsia"/>
                <w:sz w:val="24"/>
              </w:rPr>
              <w:t>螯合剂EDDS、EDTA和DTPA等活化作用下，</w:t>
            </w:r>
            <w:r w:rsidRPr="00236214">
              <w:rPr>
                <w:rFonts w:asciiTheme="minorEastAsia" w:eastAsiaTheme="minorEastAsia" w:hAnsiTheme="minorEastAsia"/>
                <w:sz w:val="24"/>
                <w:szCs w:val="32"/>
              </w:rPr>
              <w:t>苎麻对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铅污染土壤的修复潜力。</w:t>
            </w:r>
          </w:p>
          <w:p w:rsidR="00236214" w:rsidRPr="00236214" w:rsidRDefault="00236214" w:rsidP="005972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  <w:r w:rsidRPr="00236214">
              <w:rPr>
                <w:rFonts w:hint="eastAsia"/>
                <w:sz w:val="24"/>
              </w:rPr>
              <w:t>3</w:t>
            </w:r>
            <w:r w:rsidRPr="00236214">
              <w:rPr>
                <w:rFonts w:hint="eastAsia"/>
                <w:sz w:val="24"/>
              </w:rPr>
              <w:t>）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富集</w:t>
            </w:r>
            <w:proofErr w:type="gramStart"/>
            <w:r w:rsidRPr="00236214">
              <w:rPr>
                <w:rFonts w:asciiTheme="minorEastAsia" w:eastAsiaTheme="minorEastAsia" w:hAnsiTheme="minorEastAsia" w:hint="eastAsia"/>
                <w:sz w:val="24"/>
              </w:rPr>
              <w:t>植物灰杨和</w:t>
            </w:r>
            <w:proofErr w:type="gramEnd"/>
            <w:r w:rsidRPr="00236214">
              <w:rPr>
                <w:rFonts w:asciiTheme="minorEastAsia" w:eastAsiaTheme="minorEastAsia" w:hAnsiTheme="minorEastAsia" w:hint="eastAsia"/>
                <w:sz w:val="24"/>
              </w:rPr>
              <w:t>超富集植物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球果蔊菜与龙葵富集</w:t>
            </w:r>
            <w:proofErr w:type="gramStart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镉</w:t>
            </w:r>
            <w:proofErr w:type="gramEnd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及其污染土壤修复的主要机理研究：①揭示了富集</w:t>
            </w:r>
            <w:proofErr w:type="gramStart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植物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灰杨对</w:t>
            </w:r>
            <w:proofErr w:type="gramEnd"/>
            <w:r w:rsidRPr="00236214">
              <w:rPr>
                <w:rFonts w:asciiTheme="minorEastAsia" w:eastAsiaTheme="minorEastAsia" w:hAnsiTheme="minorEastAsia" w:hint="eastAsia"/>
                <w:sz w:val="24"/>
              </w:rPr>
              <w:t>镉的富集机理与修复潜力：构</w:t>
            </w:r>
            <w:r w:rsidRPr="00236214">
              <w:rPr>
                <w:rFonts w:asciiTheme="minorEastAsia" w:eastAsiaTheme="minorEastAsia" w:hAnsiTheme="minorEastAsia"/>
                <w:sz w:val="24"/>
              </w:rPr>
              <w:t>建</w:t>
            </w:r>
            <w:proofErr w:type="gramStart"/>
            <w:r w:rsidRPr="00236214">
              <w:rPr>
                <w:rFonts w:asciiTheme="minorEastAsia" w:eastAsiaTheme="minorEastAsia" w:hAnsiTheme="minorEastAsia"/>
                <w:sz w:val="24"/>
              </w:rPr>
              <w:t>了灰杨植株</w:t>
            </w:r>
            <w:proofErr w:type="gramEnd"/>
            <w:r w:rsidRPr="00236214">
              <w:rPr>
                <w:rFonts w:asciiTheme="minorEastAsia" w:eastAsiaTheme="minorEastAsia" w:hAnsiTheme="minorEastAsia"/>
                <w:sz w:val="24"/>
              </w:rPr>
              <w:t>再生体系；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茉莉酸诱导的H</w:t>
            </w:r>
            <w:r w:rsidRPr="00236214"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2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O</w:t>
            </w:r>
            <w:r w:rsidRPr="00236214">
              <w:rPr>
                <w:rFonts w:asciiTheme="minorEastAsia" w:eastAsiaTheme="minorEastAsia" w:hAnsiTheme="minorEastAsia" w:hint="eastAsia"/>
                <w:sz w:val="24"/>
                <w:vertAlign w:val="subscript"/>
              </w:rPr>
              <w:t>2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活化MEK1/2上调机理；</w:t>
            </w:r>
            <w:r w:rsidRPr="00236214">
              <w:rPr>
                <w:rFonts w:asciiTheme="minorEastAsia" w:eastAsiaTheme="minorEastAsia" w:hAnsiTheme="minorEastAsia"/>
                <w:kern w:val="0"/>
                <w:sz w:val="24"/>
              </w:rPr>
              <w:t>揭示了</w:t>
            </w:r>
            <w:proofErr w:type="gramStart"/>
            <w:r w:rsidRPr="00236214">
              <w:rPr>
                <w:rFonts w:asciiTheme="minorEastAsia" w:eastAsiaTheme="minorEastAsia" w:hAnsiTheme="minorEastAsia"/>
                <w:kern w:val="0"/>
                <w:sz w:val="24"/>
                <w:lang w:bidi="th-TH"/>
              </w:rPr>
              <w:t>镉</w:t>
            </w:r>
            <w:r w:rsidRPr="00236214">
              <w:rPr>
                <w:rFonts w:asciiTheme="minorEastAsia" w:eastAsiaTheme="minorEastAsia" w:hAnsiTheme="minorEastAsia"/>
                <w:kern w:val="0"/>
                <w:sz w:val="24"/>
              </w:rPr>
              <w:t>对灰杨</w:t>
            </w:r>
            <w:proofErr w:type="gramEnd"/>
            <w:r w:rsidRPr="00236214">
              <w:rPr>
                <w:rFonts w:asciiTheme="minorEastAsia" w:eastAsiaTheme="minorEastAsia" w:hAnsiTheme="minorEastAsia"/>
                <w:kern w:val="0"/>
                <w:sz w:val="24"/>
              </w:rPr>
              <w:t>的叶片光</w:t>
            </w:r>
            <w:proofErr w:type="gramStart"/>
            <w:r w:rsidRPr="00236214">
              <w:rPr>
                <w:rFonts w:asciiTheme="minorEastAsia" w:eastAsiaTheme="minorEastAsia" w:hAnsiTheme="minorEastAsia"/>
                <w:kern w:val="0"/>
                <w:sz w:val="24"/>
              </w:rPr>
              <w:t>合功能</w:t>
            </w:r>
            <w:proofErr w:type="gramEnd"/>
            <w:r w:rsidRPr="00236214">
              <w:rPr>
                <w:rFonts w:asciiTheme="minorEastAsia" w:eastAsiaTheme="minorEastAsia" w:hAnsiTheme="minorEastAsia"/>
                <w:kern w:val="0"/>
                <w:sz w:val="24"/>
              </w:rPr>
              <w:t>影响；</w:t>
            </w:r>
            <w:r w:rsidRPr="00236214">
              <w:rPr>
                <w:rFonts w:asciiTheme="minorEastAsia" w:eastAsiaTheme="minorEastAsia" w:hAnsiTheme="minorEastAsia"/>
                <w:kern w:val="0"/>
                <w:sz w:val="24"/>
                <w:lang w:bidi="th-TH"/>
              </w:rPr>
              <w:t>揭示了</w:t>
            </w:r>
            <w:proofErr w:type="gramStart"/>
            <w:r w:rsidRPr="00236214">
              <w:rPr>
                <w:rFonts w:asciiTheme="minorEastAsia" w:eastAsiaTheme="minorEastAsia" w:hAnsiTheme="minorEastAsia"/>
                <w:kern w:val="0"/>
                <w:sz w:val="24"/>
                <w:lang w:bidi="th-TH"/>
              </w:rPr>
              <w:t>灰杨体内</w:t>
            </w:r>
            <w:proofErr w:type="gramEnd"/>
            <w:r w:rsidRPr="00236214">
              <w:rPr>
                <w:rFonts w:asciiTheme="minorEastAsia" w:eastAsiaTheme="minorEastAsia" w:hAnsiTheme="minorEastAsia"/>
                <w:kern w:val="0"/>
                <w:sz w:val="24"/>
                <w:lang w:bidi="th-TH"/>
              </w:rPr>
              <w:t>防御系统的生理解毒机制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以及对镉的较强修复能力。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②揭示了超富集植物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>对镉的富集机理与修复潜力：揭示</w:t>
            </w:r>
            <w:proofErr w:type="gramStart"/>
            <w:r w:rsidRPr="00236214">
              <w:rPr>
                <w:rFonts w:asciiTheme="minorEastAsia" w:eastAsiaTheme="minorEastAsia" w:hAnsiTheme="minorEastAsia" w:hint="eastAsia"/>
                <w:sz w:val="24"/>
              </w:rPr>
              <w:t>了镉在土壤</w:t>
            </w:r>
            <w:proofErr w:type="gramEnd"/>
            <w:r w:rsidRPr="00236214">
              <w:rPr>
                <w:rFonts w:asciiTheme="minorEastAsia" w:eastAsiaTheme="minorEastAsia" w:hAnsiTheme="minorEastAsia" w:hint="eastAsia"/>
                <w:sz w:val="24"/>
              </w:rPr>
              <w:t>中的运移机理；</w:t>
            </w:r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超富集植物球果蔊菜</w:t>
            </w:r>
            <w:proofErr w:type="gramStart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对镉超富集</w:t>
            </w:r>
            <w:proofErr w:type="gramEnd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的根系机理；超富集植物龙葵修复</w:t>
            </w:r>
            <w:proofErr w:type="gramStart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镉</w:t>
            </w:r>
            <w:proofErr w:type="gramEnd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污染土壤的强化机理与活化机理；超富集植物龙葵修复</w:t>
            </w:r>
            <w:proofErr w:type="gramStart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镉</w:t>
            </w:r>
            <w:proofErr w:type="gramEnd"/>
            <w:r w:rsidRPr="00236214">
              <w:rPr>
                <w:rFonts w:asciiTheme="minorEastAsia" w:eastAsiaTheme="minorEastAsia" w:hAnsiTheme="minorEastAsia" w:cstheme="minorBidi" w:hint="eastAsia"/>
                <w:sz w:val="24"/>
              </w:rPr>
              <w:t>污染土壤的大田实验获得显著效果。</w:t>
            </w:r>
          </w:p>
          <w:p w:rsidR="00236214" w:rsidRPr="00236214" w:rsidRDefault="00236214" w:rsidP="005972A0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jc w:val="left"/>
              <w:rPr>
                <w:rFonts w:ascii="宋体" w:hAnsi="宋体"/>
                <w:kern w:val="0"/>
                <w:sz w:val="24"/>
              </w:rPr>
            </w:pPr>
            <w:r w:rsidRPr="00BC1F24">
              <w:rPr>
                <w:rFonts w:ascii="宋体" w:hAnsi="宋体" w:hint="eastAsia"/>
                <w:kern w:val="0"/>
                <w:sz w:val="24"/>
              </w:rPr>
              <w:t>围绕以上研究，在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>一区SCI期刊Journal of Hazardous Materials (IF</w:t>
            </w:r>
            <w:r w:rsidRPr="00E008E9">
              <w:rPr>
                <w:rFonts w:ascii="宋体" w:hAnsi="宋体" w:cs="宋体" w:hint="eastAsia"/>
                <w:kern w:val="0"/>
                <w:sz w:val="24"/>
                <w:vertAlign w:val="subscript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=6.065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spellStart"/>
            <w:r w:rsidRPr="00876378">
              <w:rPr>
                <w:rFonts w:ascii="宋体" w:hAnsi="宋体" w:cs="宋体" w:hint="eastAsia"/>
                <w:kern w:val="0"/>
                <w:sz w:val="24"/>
              </w:rPr>
              <w:lastRenderedPageBreak/>
              <w:t>Bioresource</w:t>
            </w:r>
            <w:proofErr w:type="spellEnd"/>
            <w:r w:rsidRPr="00876378">
              <w:rPr>
                <w:rFonts w:ascii="宋体" w:hAnsi="宋体" w:cs="宋体" w:hint="eastAsia"/>
                <w:kern w:val="0"/>
                <w:sz w:val="24"/>
              </w:rPr>
              <w:t xml:space="preserve"> Technology (IF</w:t>
            </w:r>
            <w:r w:rsidRPr="00E008E9">
              <w:rPr>
                <w:rFonts w:ascii="宋体" w:hAnsi="宋体" w:cs="宋体" w:hint="eastAsia"/>
                <w:kern w:val="0"/>
                <w:sz w:val="24"/>
                <w:vertAlign w:val="subscript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=5.651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>Plant and Soil (IF</w:t>
            </w:r>
            <w:r w:rsidRPr="00E008E9">
              <w:rPr>
                <w:rFonts w:ascii="宋体" w:hAnsi="宋体" w:cs="宋体" w:hint="eastAsia"/>
                <w:kern w:val="0"/>
                <w:sz w:val="24"/>
                <w:vertAlign w:val="subscript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=3.052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>)等</w:t>
            </w:r>
            <w:r>
              <w:rPr>
                <w:rFonts w:ascii="宋体" w:hAnsi="宋体" w:cs="宋体" w:hint="eastAsia"/>
                <w:kern w:val="0"/>
                <w:sz w:val="24"/>
              </w:rPr>
              <w:t>发表14</w:t>
            </w:r>
            <w:r w:rsidRPr="00876378">
              <w:rPr>
                <w:rFonts w:ascii="宋体" w:hAnsi="宋体" w:cs="宋体" w:hint="eastAsia"/>
                <w:kern w:val="0"/>
                <w:sz w:val="24"/>
              </w:rPr>
              <w:t>篇代表性论文</w:t>
            </w:r>
            <w:r>
              <w:rPr>
                <w:rFonts w:ascii="宋体" w:hAnsi="宋体" w:cs="宋体" w:hint="eastAsia"/>
                <w:kern w:val="0"/>
                <w:sz w:val="24"/>
              </w:rPr>
              <w:t>和一本著作。</w:t>
            </w:r>
          </w:p>
        </w:tc>
      </w:tr>
      <w:tr w:rsidR="00236214" w:rsidRPr="008E43C3" w:rsidTr="00236214">
        <w:trPr>
          <w:trHeight w:val="630"/>
        </w:trPr>
        <w:tc>
          <w:tcPr>
            <w:tcW w:w="1915" w:type="dxa"/>
            <w:vAlign w:val="center"/>
          </w:tcPr>
          <w:p w:rsidR="00236214" w:rsidRPr="0089394C" w:rsidRDefault="00236214" w:rsidP="00BF7A9C">
            <w:pPr>
              <w:autoSpaceDE w:val="0"/>
              <w:autoSpaceDN w:val="0"/>
              <w:adjustRightInd w:val="0"/>
              <w:jc w:val="center"/>
              <w:rPr>
                <w:rFonts w:ascii="宋体" w:hAnsi="宋体" w:cs="Courier"/>
                <w:b/>
                <w:color w:val="000000"/>
                <w:kern w:val="0"/>
                <w:sz w:val="24"/>
              </w:rPr>
            </w:pPr>
            <w:r w:rsidRPr="0089394C">
              <w:rPr>
                <w:rFonts w:ascii="宋体" w:hAnsi="宋体" w:cs="Courier" w:hint="eastAsia"/>
                <w:b/>
                <w:color w:val="000000"/>
                <w:kern w:val="0"/>
                <w:sz w:val="24"/>
              </w:rPr>
              <w:lastRenderedPageBreak/>
              <w:t>知识产权类别</w:t>
            </w:r>
          </w:p>
        </w:tc>
        <w:tc>
          <w:tcPr>
            <w:tcW w:w="6858" w:type="dxa"/>
            <w:vAlign w:val="center"/>
          </w:tcPr>
          <w:p w:rsidR="00236214" w:rsidRPr="0089394C" w:rsidRDefault="00236214" w:rsidP="00236214">
            <w:pPr>
              <w:autoSpaceDE w:val="0"/>
              <w:autoSpaceDN w:val="0"/>
              <w:adjustRightInd w:val="0"/>
              <w:jc w:val="center"/>
              <w:rPr>
                <w:rFonts w:ascii="宋体" w:hAnsi="宋体" w:cs="Courier"/>
                <w:b/>
                <w:color w:val="000000"/>
                <w:kern w:val="0"/>
                <w:sz w:val="24"/>
              </w:rPr>
            </w:pPr>
            <w:r w:rsidRPr="0089394C">
              <w:rPr>
                <w:rFonts w:ascii="宋体" w:hAnsi="宋体" w:cs="Courier" w:hint="eastAsia"/>
                <w:b/>
                <w:color w:val="000000"/>
                <w:kern w:val="0"/>
                <w:sz w:val="24"/>
              </w:rPr>
              <w:t>项目名称</w:t>
            </w:r>
          </w:p>
        </w:tc>
      </w:tr>
      <w:tr w:rsidR="00236214" w:rsidRPr="008E43C3" w:rsidTr="00236214">
        <w:trPr>
          <w:trHeight w:val="838"/>
        </w:trPr>
        <w:tc>
          <w:tcPr>
            <w:tcW w:w="1915" w:type="dxa"/>
            <w:vAlign w:val="center"/>
          </w:tcPr>
          <w:p w:rsidR="00236214" w:rsidRPr="008E43C3" w:rsidRDefault="00236214" w:rsidP="00BF7A9C">
            <w:pPr>
              <w:jc w:val="center"/>
              <w:rPr>
                <w:rFonts w:ascii="宋体" w:hAnsi="宋体" w:cs="Courier"/>
                <w:color w:val="000000"/>
                <w:kern w:val="0"/>
                <w:sz w:val="24"/>
              </w:rPr>
            </w:pPr>
            <w:r>
              <w:rPr>
                <w:rFonts w:ascii="宋体" w:hAnsi="宋体" w:cs="Courier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6858" w:type="dxa"/>
            <w:vAlign w:val="center"/>
          </w:tcPr>
          <w:p w:rsidR="00236214" w:rsidRPr="00236214" w:rsidRDefault="00236214" w:rsidP="00BF7A9C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236214">
              <w:rPr>
                <w:rFonts w:asciiTheme="minorEastAsia" w:eastAsiaTheme="minorEastAsia" w:hAnsiTheme="minorEastAsia"/>
                <w:b/>
                <w:sz w:val="24"/>
              </w:rPr>
              <w:t>代惠萍</w:t>
            </w:r>
            <w:proofErr w:type="gramEnd"/>
            <w:r w:rsidRPr="00236214">
              <w:rPr>
                <w:rFonts w:asciiTheme="minorEastAsia" w:eastAsiaTheme="minorEastAsia" w:hAnsiTheme="minorEastAsia"/>
                <w:b/>
                <w:sz w:val="24"/>
              </w:rPr>
              <w:t xml:space="preserve">. </w:t>
            </w:r>
            <w:r w:rsidRPr="00236214">
              <w:rPr>
                <w:rFonts w:asciiTheme="minorEastAsia" w:eastAsiaTheme="minorEastAsia" w:hAnsiTheme="minorEastAsia"/>
                <w:sz w:val="24"/>
              </w:rPr>
              <w:t>植物对非生物胁迫的生理响应机制</w:t>
            </w:r>
            <w:r w:rsidRPr="00236214">
              <w:rPr>
                <w:rFonts w:asciiTheme="minorEastAsia" w:eastAsiaTheme="minorEastAsia" w:hAnsiTheme="minorEastAsia" w:hint="eastAsia"/>
                <w:sz w:val="24"/>
              </w:rPr>
              <w:t xml:space="preserve">. </w:t>
            </w:r>
            <w:r w:rsidRPr="00236214">
              <w:rPr>
                <w:rFonts w:asciiTheme="minorEastAsia" w:eastAsiaTheme="minorEastAsia" w:hAnsiTheme="minorEastAsia"/>
                <w:sz w:val="24"/>
              </w:rPr>
              <w:t>西南交通大学出版社. 成都. 2013</w:t>
            </w:r>
          </w:p>
        </w:tc>
      </w:tr>
    </w:tbl>
    <w:p w:rsidR="00236214" w:rsidRDefault="00236214" w:rsidP="00236214"/>
    <w:sectPr w:rsidR="0023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CC" w:rsidRDefault="000F6ECC" w:rsidP="00236214">
      <w:r>
        <w:separator/>
      </w:r>
    </w:p>
  </w:endnote>
  <w:endnote w:type="continuationSeparator" w:id="0">
    <w:p w:rsidR="000F6ECC" w:rsidRDefault="000F6ECC" w:rsidP="002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芥竟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CC" w:rsidRDefault="000F6ECC" w:rsidP="00236214">
      <w:r>
        <w:separator/>
      </w:r>
    </w:p>
  </w:footnote>
  <w:footnote w:type="continuationSeparator" w:id="0">
    <w:p w:rsidR="000F6ECC" w:rsidRDefault="000F6ECC" w:rsidP="0023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5A"/>
    <w:rsid w:val="00093E96"/>
    <w:rsid w:val="000F6ECC"/>
    <w:rsid w:val="00236214"/>
    <w:rsid w:val="0037417C"/>
    <w:rsid w:val="00412B5A"/>
    <w:rsid w:val="005972A0"/>
    <w:rsid w:val="00A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2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2017-12-19T13:13:00Z</dcterms:created>
  <dcterms:modified xsi:type="dcterms:W3CDTF">2017-12-19T13:30:00Z</dcterms:modified>
</cp:coreProperties>
</file>