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关于对2019年“课程思政”示范课程进行结题验收的通知</w:t>
      </w:r>
    </w:p>
    <w:p>
      <w:pPr>
        <w:jc w:val="both"/>
        <w:rPr>
          <w:rFonts w:hint="eastAsia"/>
          <w:sz w:val="32"/>
          <w:szCs w:val="32"/>
        </w:rPr>
      </w:pPr>
      <w:r>
        <w:rPr>
          <w:rFonts w:hint="eastAsia"/>
          <w:sz w:val="32"/>
          <w:szCs w:val="32"/>
        </w:rPr>
        <w:t>各学院（系、部）：</w:t>
      </w:r>
    </w:p>
    <w:p>
      <w:pPr>
        <w:ind w:firstLine="640" w:firstLineChars="200"/>
        <w:jc w:val="both"/>
        <w:rPr>
          <w:rFonts w:hint="eastAsia"/>
          <w:sz w:val="32"/>
          <w:szCs w:val="32"/>
        </w:rPr>
      </w:pPr>
      <w:r>
        <w:rPr>
          <w:rFonts w:hint="eastAsia"/>
          <w:sz w:val="32"/>
          <w:szCs w:val="32"/>
        </w:rPr>
        <w:t>根据《关于公布2019年“课程思政”示范课程立项结果的通知》和《关于开展2020年“思政课教师大练兵与课程思政建设”主题活动的通知》要求，学校近期将对2019年课程思政示范课程进行结题验收，现将有关事项通知如下：</w:t>
      </w:r>
    </w:p>
    <w:p>
      <w:pPr>
        <w:numPr>
          <w:ilvl w:val="0"/>
          <w:numId w:val="1"/>
        </w:numPr>
        <w:ind w:firstLine="640" w:firstLineChars="200"/>
        <w:jc w:val="both"/>
        <w:rPr>
          <w:rFonts w:hint="eastAsia"/>
          <w:sz w:val="32"/>
          <w:szCs w:val="32"/>
        </w:rPr>
      </w:pPr>
      <w:r>
        <w:rPr>
          <w:rFonts w:hint="eastAsia"/>
          <w:sz w:val="32"/>
          <w:szCs w:val="32"/>
        </w:rPr>
        <w:t>验收范围</w:t>
      </w:r>
    </w:p>
    <w:p>
      <w:pPr>
        <w:numPr>
          <w:numId w:val="0"/>
        </w:numPr>
        <w:ind w:firstLine="640" w:firstLineChars="200"/>
        <w:jc w:val="both"/>
        <w:rPr>
          <w:rFonts w:hint="eastAsia"/>
          <w:sz w:val="32"/>
          <w:szCs w:val="32"/>
        </w:rPr>
      </w:pPr>
      <w:r>
        <w:rPr>
          <w:rFonts w:hint="eastAsia"/>
          <w:sz w:val="32"/>
          <w:szCs w:val="32"/>
        </w:rPr>
        <w:t>1.2019年立项建设的124门“课程思政”示范课程，清单见附件1；</w:t>
      </w:r>
    </w:p>
    <w:p>
      <w:pPr>
        <w:numPr>
          <w:ilvl w:val="0"/>
          <w:numId w:val="2"/>
        </w:numPr>
        <w:ind w:firstLine="640" w:firstLineChars="200"/>
        <w:jc w:val="both"/>
        <w:rPr>
          <w:rFonts w:hint="eastAsia"/>
          <w:sz w:val="32"/>
          <w:szCs w:val="32"/>
        </w:rPr>
      </w:pPr>
      <w:r>
        <w:rPr>
          <w:rFonts w:hint="eastAsia"/>
          <w:sz w:val="32"/>
          <w:szCs w:val="32"/>
        </w:rPr>
        <w:t>各学院（系、部）自主设立的院级“课程思政”示范课程，达到学校验收标准的可自主申请参加验收。以上2类项目通过验收后认定为校级“课程思政”示范课程。</w:t>
      </w:r>
    </w:p>
    <w:p>
      <w:pPr>
        <w:numPr>
          <w:ilvl w:val="0"/>
          <w:numId w:val="1"/>
        </w:numPr>
        <w:ind w:left="0" w:leftChars="0" w:firstLine="640" w:firstLineChars="200"/>
        <w:jc w:val="both"/>
        <w:rPr>
          <w:rFonts w:hint="eastAsia"/>
          <w:sz w:val="32"/>
          <w:szCs w:val="32"/>
        </w:rPr>
      </w:pPr>
      <w:r>
        <w:rPr>
          <w:rFonts w:hint="eastAsia"/>
          <w:sz w:val="32"/>
          <w:szCs w:val="32"/>
        </w:rPr>
        <w:t>验收形式各学院（系、部）组织验收，采取PPT汇报与现场教学展示相结合的方式进行。PPT汇报环节，介绍任务完成情况并重点逐一讲解典型教学案例；现场教学展示环节，由项通知目负责人自选一个典型案例，对相关知识点进行10分钟以内的现场教学展示。验收结果报教务处备案。</w:t>
      </w:r>
    </w:p>
    <w:p>
      <w:pPr>
        <w:numPr>
          <w:ilvl w:val="0"/>
          <w:numId w:val="1"/>
        </w:numPr>
        <w:ind w:left="0" w:leftChars="0" w:firstLine="640" w:firstLineChars="200"/>
        <w:jc w:val="both"/>
        <w:rPr>
          <w:rFonts w:hint="eastAsia"/>
          <w:sz w:val="32"/>
          <w:szCs w:val="32"/>
        </w:rPr>
      </w:pPr>
      <w:r>
        <w:rPr>
          <w:rFonts w:hint="eastAsia"/>
          <w:sz w:val="32"/>
          <w:szCs w:val="32"/>
        </w:rPr>
        <w:t>验收标准专家组依据基本任务完成情况以及优秀案例推荐情况确定验收结果。</w:t>
      </w:r>
    </w:p>
    <w:p>
      <w:pPr>
        <w:numPr>
          <w:ilvl w:val="0"/>
          <w:numId w:val="3"/>
        </w:numPr>
        <w:ind w:firstLine="640" w:firstLineChars="200"/>
        <w:jc w:val="both"/>
        <w:rPr>
          <w:rFonts w:hint="eastAsia"/>
          <w:sz w:val="32"/>
          <w:szCs w:val="32"/>
        </w:rPr>
      </w:pPr>
      <w:r>
        <w:rPr>
          <w:rFonts w:hint="eastAsia"/>
          <w:sz w:val="32"/>
          <w:szCs w:val="32"/>
        </w:rPr>
        <w:t>基本任务</w:t>
      </w:r>
    </w:p>
    <w:p>
      <w:pPr>
        <w:numPr>
          <w:numId w:val="0"/>
        </w:numPr>
        <w:ind w:firstLine="640" w:firstLineChars="200"/>
        <w:jc w:val="both"/>
        <w:rPr>
          <w:rFonts w:hint="eastAsia"/>
          <w:sz w:val="32"/>
          <w:szCs w:val="32"/>
        </w:rPr>
      </w:pPr>
      <w:r>
        <w:rPr>
          <w:rFonts w:hint="eastAsia"/>
          <w:sz w:val="32"/>
          <w:szCs w:val="32"/>
        </w:rPr>
        <w:t>课程建设期满，应提交以下成果：</w:t>
      </w:r>
    </w:p>
    <w:p>
      <w:pPr>
        <w:numPr>
          <w:ilvl w:val="0"/>
          <w:numId w:val="4"/>
        </w:numPr>
        <w:ind w:firstLine="640" w:firstLineChars="200"/>
        <w:jc w:val="both"/>
        <w:rPr>
          <w:rFonts w:hint="eastAsia"/>
          <w:sz w:val="32"/>
          <w:szCs w:val="32"/>
        </w:rPr>
      </w:pPr>
      <w:r>
        <w:rPr>
          <w:rFonts w:hint="eastAsia"/>
          <w:sz w:val="32"/>
          <w:szCs w:val="32"/>
        </w:rPr>
        <w:t>积极推进课堂教学改革，形成可推广可复制的课堂教学改革经验交流材料一套。</w:t>
      </w:r>
    </w:p>
    <w:p>
      <w:pPr>
        <w:numPr>
          <w:ilvl w:val="0"/>
          <w:numId w:val="4"/>
        </w:numPr>
        <w:ind w:left="0" w:leftChars="0" w:firstLine="640" w:firstLineChars="200"/>
        <w:jc w:val="both"/>
        <w:rPr>
          <w:rFonts w:hint="eastAsia"/>
          <w:sz w:val="32"/>
          <w:szCs w:val="32"/>
        </w:rPr>
      </w:pPr>
      <w:r>
        <w:rPr>
          <w:rFonts w:hint="eastAsia"/>
          <w:sz w:val="32"/>
          <w:szCs w:val="32"/>
        </w:rPr>
        <w:t>一套能注重思政教育与专业教育的有机衔接，体现课程思政特点的新课件、新教案。</w:t>
      </w:r>
    </w:p>
    <w:p>
      <w:pPr>
        <w:numPr>
          <w:ilvl w:val="0"/>
          <w:numId w:val="4"/>
        </w:numPr>
        <w:ind w:left="0" w:leftChars="0" w:firstLine="640" w:firstLineChars="200"/>
        <w:jc w:val="both"/>
        <w:rPr>
          <w:rFonts w:hint="eastAsia"/>
          <w:sz w:val="32"/>
          <w:szCs w:val="32"/>
        </w:rPr>
      </w:pPr>
      <w:r>
        <w:rPr>
          <w:rFonts w:hint="eastAsia"/>
          <w:sz w:val="32"/>
          <w:szCs w:val="32"/>
        </w:rPr>
        <w:t>选编3-5个思政育人典型教学案例，应包含教学设计、实施效果、学生反馈及感悟、视频、照片等内容。</w:t>
      </w:r>
    </w:p>
    <w:p>
      <w:pPr>
        <w:numPr>
          <w:ilvl w:val="0"/>
          <w:numId w:val="3"/>
        </w:numPr>
        <w:ind w:left="0" w:leftChars="0" w:firstLine="640" w:firstLineChars="200"/>
        <w:jc w:val="both"/>
        <w:rPr>
          <w:rFonts w:hint="eastAsia"/>
          <w:sz w:val="32"/>
          <w:szCs w:val="32"/>
        </w:rPr>
      </w:pPr>
      <w:r>
        <w:rPr>
          <w:rFonts w:hint="eastAsia"/>
          <w:sz w:val="32"/>
          <w:szCs w:val="32"/>
        </w:rPr>
        <w:t>优秀案例推荐</w:t>
      </w:r>
    </w:p>
    <w:p>
      <w:pPr>
        <w:numPr>
          <w:ilvl w:val="0"/>
          <w:numId w:val="5"/>
        </w:numPr>
        <w:ind w:firstLine="640" w:firstLineChars="200"/>
        <w:jc w:val="both"/>
        <w:rPr>
          <w:rFonts w:hint="eastAsia"/>
          <w:sz w:val="32"/>
          <w:szCs w:val="32"/>
        </w:rPr>
      </w:pPr>
      <w:r>
        <w:rPr>
          <w:rFonts w:hint="eastAsia"/>
          <w:sz w:val="32"/>
          <w:szCs w:val="32"/>
        </w:rPr>
        <w:t>推荐要求</w:t>
      </w:r>
    </w:p>
    <w:p>
      <w:pPr>
        <w:numPr>
          <w:numId w:val="0"/>
        </w:numPr>
        <w:ind w:firstLine="640" w:firstLineChars="200"/>
        <w:jc w:val="both"/>
        <w:rPr>
          <w:rFonts w:hint="eastAsia"/>
          <w:sz w:val="32"/>
          <w:szCs w:val="32"/>
        </w:rPr>
      </w:pPr>
      <w:r>
        <w:rPr>
          <w:rFonts w:hint="eastAsia"/>
          <w:sz w:val="32"/>
          <w:szCs w:val="32"/>
        </w:rPr>
        <w:t>专家组依据优秀案例推荐标准，结合项目汇报及现场教学展示情况，遴选推荐能够代表本学院“课程思政”教学改革水平、并能在校内进行示范推广的优秀教学案例，并填写《优秀教学案例推荐表》。优秀案例的推荐，应坚持“宁缺毋滥、优中选优”的原则，经专家组推荐到学校的优秀案例，须由所在学院组织专家进一步修改和完善。</w:t>
      </w:r>
    </w:p>
    <w:p>
      <w:pPr>
        <w:numPr>
          <w:ilvl w:val="0"/>
          <w:numId w:val="5"/>
        </w:numPr>
        <w:ind w:left="0" w:leftChars="0" w:firstLine="640" w:firstLineChars="200"/>
        <w:jc w:val="both"/>
        <w:rPr>
          <w:rFonts w:hint="eastAsia"/>
          <w:sz w:val="32"/>
          <w:szCs w:val="32"/>
        </w:rPr>
      </w:pPr>
      <w:r>
        <w:rPr>
          <w:rFonts w:hint="eastAsia"/>
          <w:sz w:val="32"/>
          <w:szCs w:val="32"/>
        </w:rPr>
        <w:t>优秀案例推荐标准</w:t>
      </w:r>
    </w:p>
    <w:p>
      <w:pPr>
        <w:numPr>
          <w:numId w:val="0"/>
        </w:numPr>
        <w:ind w:firstLine="640" w:firstLineChars="200"/>
        <w:jc w:val="both"/>
        <w:rPr>
          <w:rFonts w:hint="eastAsia"/>
          <w:sz w:val="32"/>
          <w:szCs w:val="32"/>
        </w:rPr>
      </w:pPr>
      <w:r>
        <w:rPr>
          <w:rFonts w:hint="eastAsia"/>
          <w:sz w:val="32"/>
          <w:szCs w:val="32"/>
        </w:rPr>
        <w:t>（1）强化正确政治方向，有明确的育人目标，突出价值引领、铸魂育人。</w:t>
      </w:r>
    </w:p>
    <w:p>
      <w:pPr>
        <w:ind w:firstLine="640" w:firstLineChars="200"/>
        <w:jc w:val="both"/>
        <w:rPr>
          <w:rFonts w:hint="eastAsia"/>
          <w:sz w:val="32"/>
          <w:szCs w:val="32"/>
        </w:rPr>
      </w:pPr>
      <w:r>
        <w:rPr>
          <w:rFonts w:hint="eastAsia"/>
          <w:sz w:val="32"/>
          <w:szCs w:val="32"/>
        </w:rPr>
        <w:t>（2）思政育人元素引用恰当，论述准确，符合国情社情，体现时代性、科学性和针对性。</w:t>
      </w:r>
    </w:p>
    <w:p>
      <w:pPr>
        <w:ind w:firstLine="640" w:firstLineChars="200"/>
        <w:jc w:val="both"/>
        <w:rPr>
          <w:rFonts w:hint="eastAsia"/>
          <w:sz w:val="32"/>
          <w:szCs w:val="32"/>
        </w:rPr>
      </w:pPr>
      <w:r>
        <w:rPr>
          <w:rFonts w:hint="eastAsia"/>
          <w:sz w:val="32"/>
          <w:szCs w:val="32"/>
        </w:rPr>
        <w:t>（3）教学内容呈现恰当，注重师生互动，能够促使学生体验和反思。</w:t>
      </w:r>
    </w:p>
    <w:p>
      <w:pPr>
        <w:ind w:firstLine="640" w:firstLineChars="200"/>
        <w:jc w:val="both"/>
        <w:rPr>
          <w:rFonts w:hint="eastAsia"/>
          <w:sz w:val="32"/>
          <w:szCs w:val="32"/>
        </w:rPr>
      </w:pPr>
      <w:r>
        <w:rPr>
          <w:rFonts w:hint="eastAsia"/>
          <w:sz w:val="32"/>
          <w:szCs w:val="32"/>
        </w:rPr>
        <w:t>（4）案例鲜活生动，语言精练，育人效果显著。</w:t>
      </w:r>
    </w:p>
    <w:p>
      <w:pPr>
        <w:ind w:firstLine="640" w:firstLineChars="200"/>
        <w:jc w:val="both"/>
        <w:rPr>
          <w:rFonts w:hint="eastAsia"/>
          <w:sz w:val="32"/>
          <w:szCs w:val="32"/>
        </w:rPr>
      </w:pPr>
      <w:r>
        <w:rPr>
          <w:rFonts w:hint="eastAsia"/>
          <w:sz w:val="32"/>
          <w:szCs w:val="32"/>
        </w:rPr>
        <w:t>（5）案例能够代表本学院“课程思政”教育教学改革水平、并能在校内进行示范推广。</w:t>
      </w:r>
    </w:p>
    <w:p>
      <w:pPr>
        <w:ind w:firstLine="640" w:firstLineChars="200"/>
        <w:jc w:val="both"/>
        <w:rPr>
          <w:rFonts w:hint="eastAsia"/>
          <w:sz w:val="32"/>
          <w:szCs w:val="32"/>
        </w:rPr>
      </w:pPr>
      <w:r>
        <w:rPr>
          <w:rFonts w:hint="eastAsia"/>
          <w:sz w:val="32"/>
          <w:szCs w:val="32"/>
        </w:rPr>
        <w:t>（三）验收结果</w:t>
      </w:r>
    </w:p>
    <w:p>
      <w:pPr>
        <w:ind w:firstLine="640" w:firstLineChars="200"/>
        <w:jc w:val="both"/>
        <w:rPr>
          <w:rFonts w:hint="eastAsia"/>
          <w:sz w:val="32"/>
          <w:szCs w:val="32"/>
        </w:rPr>
      </w:pPr>
      <w:r>
        <w:rPr>
          <w:rFonts w:hint="eastAsia"/>
          <w:sz w:val="32"/>
          <w:szCs w:val="32"/>
        </w:rPr>
        <w:t>验收结果分为优秀、合格、不合格三类，优秀项目数原则上控制在30%以内。</w:t>
      </w:r>
    </w:p>
    <w:p>
      <w:pPr>
        <w:ind w:firstLine="640" w:firstLineChars="200"/>
        <w:jc w:val="both"/>
        <w:rPr>
          <w:rFonts w:hint="eastAsia"/>
          <w:sz w:val="32"/>
          <w:szCs w:val="32"/>
        </w:rPr>
      </w:pPr>
      <w:r>
        <w:rPr>
          <w:rFonts w:hint="eastAsia"/>
          <w:sz w:val="32"/>
          <w:szCs w:val="32"/>
        </w:rPr>
        <w:t>优秀：完成基本任务，且至少有2个思政育人典型教学案例被专家组推荐为学校优秀教学案例。</w:t>
      </w:r>
    </w:p>
    <w:p>
      <w:pPr>
        <w:ind w:firstLine="640" w:firstLineChars="200"/>
        <w:jc w:val="both"/>
        <w:rPr>
          <w:rFonts w:hint="eastAsia"/>
          <w:sz w:val="32"/>
          <w:szCs w:val="32"/>
        </w:rPr>
      </w:pPr>
      <w:r>
        <w:rPr>
          <w:rFonts w:hint="eastAsia"/>
          <w:sz w:val="32"/>
          <w:szCs w:val="32"/>
        </w:rPr>
        <w:t>合格：完成基本任务，且至少有1个思政育人典型教学案例被专家组推荐为学校优秀教学案例。</w:t>
      </w:r>
    </w:p>
    <w:p>
      <w:pPr>
        <w:ind w:firstLine="640" w:firstLineChars="200"/>
        <w:jc w:val="both"/>
        <w:rPr>
          <w:rFonts w:hint="eastAsia"/>
          <w:sz w:val="32"/>
          <w:szCs w:val="32"/>
        </w:rPr>
      </w:pPr>
      <w:r>
        <w:rPr>
          <w:rFonts w:hint="eastAsia"/>
          <w:sz w:val="32"/>
          <w:szCs w:val="32"/>
        </w:rPr>
        <w:t>不合格：未完成基本任务；或完成基本任务，但思政育人元素融入不当，育人效果不明显，推广应用价值不明显。</w:t>
      </w:r>
      <w:r>
        <w:rPr>
          <w:rFonts w:hint="eastAsia"/>
          <w:sz w:val="32"/>
          <w:szCs w:val="32"/>
          <w:lang w:val="en-US" w:eastAsia="zh-CN"/>
        </w:rPr>
        <w:t xml:space="preserve">             </w:t>
      </w:r>
      <w:r>
        <w:rPr>
          <w:rFonts w:hint="eastAsia"/>
          <w:sz w:val="32"/>
          <w:szCs w:val="32"/>
        </w:rPr>
        <w:t>四、工作要求</w:t>
      </w:r>
    </w:p>
    <w:p>
      <w:pPr>
        <w:ind w:firstLine="640" w:firstLineChars="200"/>
        <w:jc w:val="both"/>
        <w:rPr>
          <w:rFonts w:hint="eastAsia"/>
          <w:sz w:val="32"/>
          <w:szCs w:val="32"/>
        </w:rPr>
      </w:pPr>
      <w:r>
        <w:rPr>
          <w:rFonts w:hint="eastAsia"/>
          <w:sz w:val="32"/>
          <w:szCs w:val="32"/>
        </w:rPr>
        <w:t>各学院（系、部）要把“课程思政”育人作为落实立德树人的重要抓手来抓，缜密组织，积极推进。要在开展“课程思政”示范课程结题验收时主动邀请马克思主义、人文社会科学等领域的专家教授进行评审与指导，并组织教师进行现场观摩和学习交流。</w:t>
      </w:r>
    </w:p>
    <w:p>
      <w:pPr>
        <w:ind w:firstLine="640" w:firstLineChars="200"/>
        <w:jc w:val="both"/>
        <w:rPr>
          <w:rFonts w:hint="eastAsia"/>
          <w:sz w:val="32"/>
          <w:szCs w:val="32"/>
        </w:rPr>
      </w:pPr>
      <w:r>
        <w:rPr>
          <w:rFonts w:hint="eastAsia"/>
          <w:sz w:val="32"/>
          <w:szCs w:val="32"/>
        </w:rPr>
        <w:t>五、材料报送要求</w:t>
      </w:r>
    </w:p>
    <w:p>
      <w:pPr>
        <w:ind w:firstLine="640" w:firstLineChars="200"/>
        <w:jc w:val="both"/>
        <w:rPr>
          <w:rFonts w:hint="eastAsia"/>
          <w:sz w:val="32"/>
          <w:szCs w:val="32"/>
        </w:rPr>
      </w:pPr>
      <w:r>
        <w:rPr>
          <w:rFonts w:hint="eastAsia"/>
          <w:sz w:val="32"/>
          <w:szCs w:val="32"/>
        </w:rPr>
        <w:t>12月22日前，各学院（系、部）分项目将以下材料按顺序分别装订成册（简装），连同《结题验收汇总表》（各一式一份）报送教务处：</w:t>
      </w:r>
    </w:p>
    <w:p>
      <w:pPr>
        <w:numPr>
          <w:ilvl w:val="0"/>
          <w:numId w:val="6"/>
        </w:numPr>
        <w:ind w:firstLine="640" w:firstLineChars="200"/>
        <w:jc w:val="both"/>
        <w:rPr>
          <w:rFonts w:hint="eastAsia"/>
          <w:sz w:val="32"/>
          <w:szCs w:val="32"/>
        </w:rPr>
      </w:pPr>
      <w:r>
        <w:rPr>
          <w:rFonts w:hint="eastAsia"/>
          <w:sz w:val="32"/>
          <w:szCs w:val="32"/>
        </w:rPr>
        <w:t>项目结题验收报告</w:t>
      </w:r>
    </w:p>
    <w:p>
      <w:pPr>
        <w:numPr>
          <w:ilvl w:val="0"/>
          <w:numId w:val="6"/>
        </w:numPr>
        <w:ind w:left="0" w:leftChars="0" w:firstLine="640" w:firstLineChars="200"/>
        <w:jc w:val="both"/>
        <w:rPr>
          <w:rFonts w:hint="eastAsia"/>
          <w:sz w:val="32"/>
          <w:szCs w:val="32"/>
        </w:rPr>
      </w:pPr>
      <w:r>
        <w:rPr>
          <w:rFonts w:hint="eastAsia"/>
          <w:sz w:val="32"/>
          <w:szCs w:val="32"/>
        </w:rPr>
        <w:t>课堂教学改革经验交流材料（格式自定）</w:t>
      </w:r>
    </w:p>
    <w:p>
      <w:pPr>
        <w:numPr>
          <w:ilvl w:val="0"/>
          <w:numId w:val="6"/>
        </w:numPr>
        <w:ind w:left="0" w:leftChars="0" w:firstLine="640" w:firstLineChars="200"/>
        <w:jc w:val="both"/>
        <w:rPr>
          <w:rFonts w:hint="eastAsia"/>
          <w:sz w:val="32"/>
          <w:szCs w:val="32"/>
        </w:rPr>
      </w:pPr>
      <w:r>
        <w:rPr>
          <w:rFonts w:hint="eastAsia"/>
          <w:sz w:val="32"/>
          <w:szCs w:val="32"/>
        </w:rPr>
        <w:t>思政育人典型教学案例（参加答辩的所有案例）</w:t>
      </w:r>
    </w:p>
    <w:p>
      <w:pPr>
        <w:numPr>
          <w:ilvl w:val="0"/>
          <w:numId w:val="6"/>
        </w:numPr>
        <w:ind w:left="0" w:leftChars="0" w:firstLine="640" w:firstLineChars="200"/>
        <w:jc w:val="both"/>
        <w:rPr>
          <w:rFonts w:hint="eastAsia"/>
          <w:sz w:val="32"/>
          <w:szCs w:val="32"/>
        </w:rPr>
      </w:pPr>
      <w:r>
        <w:rPr>
          <w:rFonts w:hint="eastAsia"/>
          <w:sz w:val="32"/>
          <w:szCs w:val="32"/>
        </w:rPr>
        <w:t>体现课程思政特点的新教案、新课件（仅提供融入思政元素的相关部分）</w:t>
      </w:r>
    </w:p>
    <w:p>
      <w:pPr>
        <w:numPr>
          <w:ilvl w:val="0"/>
          <w:numId w:val="6"/>
        </w:numPr>
        <w:ind w:left="0" w:leftChars="0" w:firstLine="640" w:firstLineChars="200"/>
        <w:jc w:val="both"/>
        <w:rPr>
          <w:rFonts w:hint="eastAsia"/>
          <w:sz w:val="32"/>
          <w:szCs w:val="32"/>
        </w:rPr>
      </w:pPr>
      <w:r>
        <w:rPr>
          <w:rFonts w:hint="eastAsia"/>
          <w:sz w:val="32"/>
          <w:szCs w:val="32"/>
        </w:rPr>
        <w:t>优秀教学案例推荐表</w:t>
      </w:r>
    </w:p>
    <w:p>
      <w:pPr>
        <w:numPr>
          <w:ilvl w:val="0"/>
          <w:numId w:val="6"/>
        </w:numPr>
        <w:ind w:left="0" w:leftChars="0" w:firstLine="640" w:firstLineChars="200"/>
        <w:jc w:val="both"/>
        <w:rPr>
          <w:rFonts w:hint="eastAsia"/>
          <w:sz w:val="32"/>
          <w:szCs w:val="32"/>
        </w:rPr>
      </w:pPr>
      <w:r>
        <w:rPr>
          <w:rFonts w:hint="eastAsia"/>
          <w:sz w:val="32"/>
          <w:szCs w:val="32"/>
        </w:rPr>
        <w:t>优秀教学案例（根据专家意见修改后的优秀案例）</w:t>
      </w:r>
    </w:p>
    <w:p>
      <w:pPr>
        <w:numPr>
          <w:numId w:val="0"/>
        </w:numPr>
        <w:ind w:firstLine="640" w:firstLineChars="200"/>
        <w:jc w:val="both"/>
        <w:rPr>
          <w:rFonts w:hint="eastAsia"/>
          <w:sz w:val="32"/>
          <w:szCs w:val="32"/>
        </w:rPr>
      </w:pPr>
      <w:r>
        <w:rPr>
          <w:rFonts w:hint="eastAsia"/>
          <w:sz w:val="32"/>
          <w:szCs w:val="32"/>
        </w:rPr>
        <w:fldChar w:fldCharType="begin"/>
      </w:r>
      <w:r>
        <w:rPr>
          <w:rFonts w:hint="eastAsia"/>
          <w:sz w:val="32"/>
          <w:szCs w:val="32"/>
        </w:rPr>
        <w:instrText xml:space="preserve"> HYPERLINK "mailto:同时，将上述第1、2、6项材料电子版发送至jxk2488@163.com。" </w:instrText>
      </w:r>
      <w:r>
        <w:rPr>
          <w:rFonts w:hint="eastAsia"/>
          <w:sz w:val="32"/>
          <w:szCs w:val="32"/>
        </w:rPr>
        <w:fldChar w:fldCharType="separate"/>
      </w:r>
      <w:r>
        <w:rPr>
          <w:rStyle w:val="4"/>
          <w:rFonts w:hint="eastAsia"/>
          <w:sz w:val="32"/>
          <w:szCs w:val="32"/>
        </w:rPr>
        <w:t>同时，将上述第1、2、6项材料电子版发送至jxk2488@163.com。</w:t>
      </w:r>
      <w:r>
        <w:rPr>
          <w:rFonts w:hint="eastAsia"/>
          <w:sz w:val="32"/>
          <w:szCs w:val="32"/>
        </w:rPr>
        <w:fldChar w:fldCharType="end"/>
      </w:r>
    </w:p>
    <w:p>
      <w:pPr>
        <w:numPr>
          <w:numId w:val="0"/>
        </w:numPr>
        <w:ind w:firstLine="640" w:firstLineChars="200"/>
        <w:jc w:val="both"/>
        <w:rPr>
          <w:rFonts w:hint="eastAsia"/>
          <w:sz w:val="32"/>
          <w:szCs w:val="32"/>
        </w:rPr>
      </w:pPr>
      <w:r>
        <w:rPr>
          <w:rFonts w:hint="eastAsia"/>
          <w:sz w:val="32"/>
          <w:szCs w:val="32"/>
        </w:rPr>
        <w:t>联系人：张怡惠</w:t>
      </w:r>
      <w:r>
        <w:rPr>
          <w:rFonts w:hint="eastAsia"/>
          <w:sz w:val="32"/>
          <w:szCs w:val="32"/>
          <w:lang w:val="en-US" w:eastAsia="zh-CN"/>
        </w:rPr>
        <w:t xml:space="preserve">  </w:t>
      </w:r>
      <w:r>
        <w:rPr>
          <w:rFonts w:hint="eastAsia"/>
          <w:sz w:val="32"/>
          <w:szCs w:val="32"/>
        </w:rPr>
        <w:t>张永</w:t>
      </w:r>
      <w:r>
        <w:rPr>
          <w:rFonts w:hint="eastAsia"/>
          <w:sz w:val="32"/>
          <w:szCs w:val="32"/>
          <w:lang w:val="en-US" w:eastAsia="zh-CN"/>
        </w:rPr>
        <w:t xml:space="preserve">      </w:t>
      </w:r>
      <w:r>
        <w:rPr>
          <w:rFonts w:hint="eastAsia"/>
          <w:sz w:val="32"/>
          <w:szCs w:val="32"/>
        </w:rPr>
        <w:t>联系电话：87092244</w:t>
      </w:r>
    </w:p>
    <w:p>
      <w:pPr>
        <w:numPr>
          <w:numId w:val="0"/>
        </w:numPr>
        <w:ind w:firstLine="640" w:firstLineChars="200"/>
        <w:jc w:val="both"/>
        <w:rPr>
          <w:rFonts w:hint="eastAsia"/>
          <w:sz w:val="32"/>
          <w:szCs w:val="32"/>
        </w:rPr>
      </w:pPr>
      <w:r>
        <w:rPr>
          <w:rFonts w:hint="eastAsia"/>
          <w:sz w:val="32"/>
          <w:szCs w:val="32"/>
        </w:rPr>
        <w:t>附件：1.2019年“课程思政”示范课程项目立项名单</w:t>
      </w:r>
    </w:p>
    <w:p>
      <w:pPr>
        <w:numPr>
          <w:numId w:val="0"/>
        </w:numPr>
        <w:ind w:leftChars="200" w:firstLine="1280" w:firstLineChars="400"/>
        <w:jc w:val="both"/>
        <w:rPr>
          <w:rFonts w:hint="eastAsia"/>
          <w:sz w:val="32"/>
          <w:szCs w:val="32"/>
        </w:rPr>
      </w:pPr>
      <w:r>
        <w:rPr>
          <w:rFonts w:hint="eastAsia"/>
          <w:sz w:val="32"/>
          <w:szCs w:val="32"/>
          <w:lang w:val="en-US" w:eastAsia="zh-CN"/>
        </w:rPr>
        <w:t>2.</w:t>
      </w:r>
      <w:r>
        <w:rPr>
          <w:rFonts w:hint="eastAsia"/>
          <w:sz w:val="32"/>
          <w:szCs w:val="32"/>
        </w:rPr>
        <w:t>“课程思政”示范课程结题验收报告</w:t>
      </w:r>
    </w:p>
    <w:p>
      <w:pPr>
        <w:numPr>
          <w:numId w:val="0"/>
        </w:numPr>
        <w:ind w:left="1596" w:leftChars="760" w:firstLine="0" w:firstLineChars="0"/>
        <w:jc w:val="both"/>
        <w:rPr>
          <w:rFonts w:hint="eastAsia"/>
          <w:sz w:val="32"/>
          <w:szCs w:val="32"/>
        </w:rPr>
      </w:pPr>
      <w:r>
        <w:rPr>
          <w:rFonts w:hint="eastAsia"/>
          <w:sz w:val="32"/>
          <w:szCs w:val="32"/>
        </w:rPr>
        <w:t>3.“课程思政”典型教学案例（格式）</w:t>
      </w:r>
      <w:r>
        <w:rPr>
          <w:rFonts w:hint="eastAsia"/>
          <w:sz w:val="32"/>
          <w:szCs w:val="32"/>
          <w:lang w:val="en-US" w:eastAsia="zh-CN"/>
        </w:rPr>
        <w:t xml:space="preserve">            </w:t>
      </w:r>
      <w:r>
        <w:rPr>
          <w:rFonts w:hint="eastAsia"/>
          <w:sz w:val="32"/>
          <w:szCs w:val="32"/>
        </w:rPr>
        <w:t>4.优秀教学案例推荐表</w:t>
      </w:r>
      <w:r>
        <w:rPr>
          <w:rFonts w:hint="eastAsia"/>
          <w:sz w:val="32"/>
          <w:szCs w:val="32"/>
          <w:lang w:val="en-US" w:eastAsia="zh-CN"/>
        </w:rPr>
        <w:t xml:space="preserve">                           </w:t>
      </w:r>
      <w:r>
        <w:rPr>
          <w:rFonts w:hint="eastAsia"/>
          <w:sz w:val="32"/>
          <w:szCs w:val="32"/>
        </w:rPr>
        <w:t>5.结题验收汇总表</w:t>
      </w:r>
    </w:p>
    <w:p>
      <w:pPr>
        <w:numPr>
          <w:numId w:val="0"/>
        </w:numPr>
        <w:ind w:left="1596" w:leftChars="760" w:firstLine="0" w:firstLineChars="0"/>
        <w:jc w:val="right"/>
        <w:rPr>
          <w:rFonts w:hint="eastAsia"/>
          <w:sz w:val="32"/>
          <w:szCs w:val="32"/>
        </w:rPr>
      </w:pPr>
      <w:bookmarkStart w:id="0" w:name="_GoBack"/>
      <w:r>
        <w:rPr>
          <w:rFonts w:hint="eastAsia"/>
          <w:sz w:val="32"/>
          <w:szCs w:val="32"/>
        </w:rPr>
        <w:t>课程思政工作组办公室</w:t>
      </w:r>
    </w:p>
    <w:p>
      <w:pPr>
        <w:numPr>
          <w:numId w:val="0"/>
        </w:numPr>
        <w:ind w:left="1596" w:leftChars="760" w:firstLine="0" w:firstLineChars="0"/>
        <w:jc w:val="right"/>
        <w:rPr>
          <w:rFonts w:hint="eastAsia"/>
          <w:sz w:val="32"/>
          <w:szCs w:val="32"/>
        </w:rPr>
      </w:pPr>
      <w:r>
        <w:rPr>
          <w:rFonts w:hint="eastAsia"/>
          <w:sz w:val="32"/>
          <w:szCs w:val="32"/>
        </w:rPr>
        <w:t>2020年12月8日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4B0C4"/>
    <w:multiLevelType w:val="singleLevel"/>
    <w:tmpl w:val="B014B0C4"/>
    <w:lvl w:ilvl="0" w:tentative="0">
      <w:start w:val="1"/>
      <w:numFmt w:val="decimal"/>
      <w:lvlText w:val="%1."/>
      <w:lvlJc w:val="left"/>
      <w:pPr>
        <w:tabs>
          <w:tab w:val="left" w:pos="312"/>
        </w:tabs>
      </w:pPr>
    </w:lvl>
  </w:abstractNum>
  <w:abstractNum w:abstractNumId="1">
    <w:nsid w:val="07AA5711"/>
    <w:multiLevelType w:val="singleLevel"/>
    <w:tmpl w:val="07AA5711"/>
    <w:lvl w:ilvl="0" w:tentative="0">
      <w:start w:val="1"/>
      <w:numFmt w:val="chineseCounting"/>
      <w:suff w:val="nothing"/>
      <w:lvlText w:val="（%1）"/>
      <w:lvlJc w:val="left"/>
      <w:rPr>
        <w:rFonts w:hint="eastAsia"/>
      </w:rPr>
    </w:lvl>
  </w:abstractNum>
  <w:abstractNum w:abstractNumId="2">
    <w:nsid w:val="0F86850B"/>
    <w:multiLevelType w:val="singleLevel"/>
    <w:tmpl w:val="0F86850B"/>
    <w:lvl w:ilvl="0" w:tentative="0">
      <w:start w:val="1"/>
      <w:numFmt w:val="decimal"/>
      <w:suff w:val="nothing"/>
      <w:lvlText w:val="（%1）"/>
      <w:lvlJc w:val="left"/>
    </w:lvl>
  </w:abstractNum>
  <w:abstractNum w:abstractNumId="3">
    <w:nsid w:val="476F1F9A"/>
    <w:multiLevelType w:val="singleLevel"/>
    <w:tmpl w:val="476F1F9A"/>
    <w:lvl w:ilvl="0" w:tentative="0">
      <w:start w:val="1"/>
      <w:numFmt w:val="chineseCounting"/>
      <w:suff w:val="nothing"/>
      <w:lvlText w:val="%1、"/>
      <w:lvlJc w:val="left"/>
      <w:rPr>
        <w:rFonts w:hint="eastAsia"/>
      </w:rPr>
    </w:lvl>
  </w:abstractNum>
  <w:abstractNum w:abstractNumId="4">
    <w:nsid w:val="6559230A"/>
    <w:multiLevelType w:val="singleLevel"/>
    <w:tmpl w:val="6559230A"/>
    <w:lvl w:ilvl="0" w:tentative="0">
      <w:start w:val="1"/>
      <w:numFmt w:val="decimal"/>
      <w:lvlText w:val="%1."/>
      <w:lvlJc w:val="left"/>
      <w:pPr>
        <w:tabs>
          <w:tab w:val="left" w:pos="312"/>
        </w:tabs>
      </w:pPr>
    </w:lvl>
  </w:abstractNum>
  <w:abstractNum w:abstractNumId="5">
    <w:nsid w:val="7A5559BF"/>
    <w:multiLevelType w:val="singleLevel"/>
    <w:tmpl w:val="7A5559BF"/>
    <w:lvl w:ilvl="0" w:tentative="0">
      <w:start w:val="2"/>
      <w:numFmt w:val="decimal"/>
      <w:lvlText w:val="%1."/>
      <w:lvlJc w:val="left"/>
      <w:pPr>
        <w:tabs>
          <w:tab w:val="left" w:pos="312"/>
        </w:tabs>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34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2020-12-11T03:06:41Z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